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702FE257" w:rsidR="00D12C2C" w:rsidRPr="00D12C2C" w:rsidRDefault="00D32AAF" w:rsidP="00D12C2C">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D32AAF">
        <w:rPr>
          <w:rFonts w:cs="Futura Std Condensed"/>
          <w:b/>
          <w:color w:val="404040" w:themeColor="text1" w:themeTint="BF"/>
          <w:u w:val="single"/>
          <w:lang w:val="fr-CA"/>
        </w:rPr>
        <w:t xml:space="preserve">TAMCO </w:t>
      </w:r>
      <w:r w:rsidR="00534E3B" w:rsidRPr="00534E3B">
        <w:rPr>
          <w:rFonts w:cs="Futura Std Condensed"/>
          <w:b/>
          <w:color w:val="404040" w:themeColor="text1" w:themeTint="BF"/>
          <w:u w:val="single"/>
          <w:lang w:val="fr-CA"/>
        </w:rPr>
        <w:t xml:space="preserve">SÉRIE </w:t>
      </w:r>
      <w:r w:rsidR="009E2795" w:rsidRPr="009E2795">
        <w:rPr>
          <w:rFonts w:cs="Futura Std Condensed"/>
          <w:b/>
          <w:color w:val="404040" w:themeColor="text1" w:themeTint="BF"/>
          <w:u w:val="single"/>
          <w:lang w:val="fr-CA"/>
        </w:rPr>
        <w:t>1001 MZ VOLET MULTIZONE À UN PONT</w:t>
      </w:r>
    </w:p>
    <w:p w14:paraId="486CD705" w14:textId="4A4A8D65" w:rsidR="00D12C2C" w:rsidRPr="00D12C2C" w:rsidRDefault="00D12C2C" w:rsidP="009E2795">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9E2795" w:rsidRPr="009E2795">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7A10B7CB"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 xml:space="preserve">Les lames de type air-foil en aluminium extrudé (6063-T5) devront avoir une profondeur maximale de 6 po (152,4 mm) et l’épaisseur du mur sera de 0,06 po (1,52 mm). Le pivotement de chaque lame sera symétrique. </w:t>
      </w:r>
    </w:p>
    <w:p w14:paraId="6E67D291"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séparateurs de zone internes seront faits d’aluminium extrudé (6063-T6).</w:t>
      </w:r>
    </w:p>
    <w:p w14:paraId="2005ED34"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garnitures des lames seront en EPDM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1E69A65B"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561FA8F4"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9E2795">
        <w:rPr>
          <w:rFonts w:ascii="Calibri" w:hAnsi="Calibri" w:cs="Arial"/>
          <w:color w:val="404040" w:themeColor="text1" w:themeTint="BF"/>
          <w:sz w:val="18"/>
          <w:szCs w:val="18"/>
          <w:lang w:val="fr-CA"/>
        </w:rPr>
        <w:t>Celcon</w:t>
      </w:r>
      <w:proofErr w:type="spellEnd"/>
      <w:r w:rsidRPr="009E2795">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17A185D0"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 xml:space="preserve">La tige de contrôle hexagonale, de longueur ajustable, devra mesurer 7/16 po (11,11 mm) et faire partie intégrante de la lame pivotante. Une tige de contrôle installée sur le chantier ne sera pas acceptée. Toutes les pièces devront être en acier recouvert de zinc. </w:t>
      </w:r>
    </w:p>
    <w:p w14:paraId="2A9748FE"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9E2795">
        <w:rPr>
          <w:rFonts w:ascii="Calibri" w:hAnsi="Calibri" w:cs="Arial"/>
          <w:color w:val="404040" w:themeColor="text1" w:themeTint="BF"/>
          <w:sz w:val="18"/>
          <w:szCs w:val="18"/>
          <w:lang w:val="fr-CA"/>
        </w:rPr>
        <w:t>Celcon</w:t>
      </w:r>
      <w:proofErr w:type="spellEnd"/>
      <w:r w:rsidRPr="009E2795">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08D7F63E"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volets seront fonctionnels à des températures variant de -40 °F (-40 °C) à 212 °F (100 °C).</w:t>
      </w:r>
    </w:p>
    <w:p w14:paraId="600E6451"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L’étanchéité n’excèdera pas 3 PCM/pi² (15,2 l/s/m²) à 1 po d’eau (0,25 kPa) de différentiel de pression statique.</w:t>
      </w:r>
    </w:p>
    <w:p w14:paraId="232B4F52"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volets doivent correspondre à la dimension requise, avec des arrêts de lames n’excédant pas 1¼ po (31,7 mm) de hauteur. Les arrêts de lames devront faire partie intégrante des rebords supérieurs et inférieurs de chaque zone. Les arrêts de lames soudés ou calfeutrés ne seront pas acceptés.</w:t>
      </w:r>
    </w:p>
    <w:p w14:paraId="4F8EB2BD"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Toutes les dimensions seront prises à l’intérieur des cadres.</w:t>
      </w:r>
    </w:p>
    <w:p w14:paraId="306BCE1C"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volets devront fonctionner avec des lames opposées ou des lames parallèles, comme indiqué dans les plans.</w:t>
      </w:r>
    </w:p>
    <w:p w14:paraId="32CECCA8"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 xml:space="preserve">Les volets devront être installés comme suit : attaché au conduit. </w:t>
      </w:r>
    </w:p>
    <w:p w14:paraId="428E239F"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L’installation des volets doit correspondre aux exigences du Guide d’installation courant de TAMCO fourni avec chaque livraison de volet TAMCO.</w:t>
      </w:r>
    </w:p>
    <w:p w14:paraId="61F95563" w14:textId="77777777" w:rsidR="009E2795"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en aluminium TAMCO.)</w:t>
      </w:r>
    </w:p>
    <w:p w14:paraId="21AAD3D3" w14:textId="3BD2366D" w:rsidR="00290454" w:rsidRPr="009E2795" w:rsidRDefault="009E2795" w:rsidP="009E2795">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E2795">
        <w:rPr>
          <w:rFonts w:ascii="Calibri" w:hAnsi="Calibri" w:cs="Arial"/>
          <w:color w:val="404040" w:themeColor="text1" w:themeTint="BF"/>
          <w:sz w:val="18"/>
          <w:szCs w:val="18"/>
          <w:lang w:val="fr-CA"/>
        </w:rPr>
        <w:t>Les volets multizones à un pont seront de la Série 1001 MZ, de marque TAMCO provenant de chez T. A. MORRISON &amp; CIE INC. (Service à la clientèle : Tél. 1 800 723-6805, Québec / 1 800 561-3449, Canada &amp; États-Unis.)</w:t>
      </w:r>
    </w:p>
    <w:sectPr w:rsidR="00290454" w:rsidRPr="009E2795"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1511" w14:textId="77777777" w:rsidR="00836167" w:rsidRDefault="00836167" w:rsidP="0054255F">
      <w:pPr>
        <w:spacing w:after="0" w:line="240" w:lineRule="auto"/>
      </w:pPr>
      <w:r>
        <w:separator/>
      </w:r>
    </w:p>
  </w:endnote>
  <w:endnote w:type="continuationSeparator" w:id="0">
    <w:p w14:paraId="0424D117" w14:textId="77777777" w:rsidR="00836167" w:rsidRDefault="00836167"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554C82DF" w:rsidR="009E739C" w:rsidRPr="006D1CA3" w:rsidRDefault="00D12C2C">
        <w:pPr>
          <w:pStyle w:val="Footer"/>
          <w:jc w:val="center"/>
          <w:rPr>
            <w:color w:val="808284"/>
          </w:rPr>
        </w:pPr>
        <w:r w:rsidRPr="00517021">
          <w:rPr>
            <w:color w:val="808284"/>
          </w:rPr>
          <w:t>FR-</w:t>
        </w:r>
        <w:r w:rsidR="009E739C" w:rsidRPr="00517021">
          <w:rPr>
            <w:color w:val="808284"/>
          </w:rPr>
          <w:t>TA-100</w:t>
        </w:r>
        <w:r w:rsidR="009E2795">
          <w:rPr>
            <w:color w:val="808284"/>
          </w:rPr>
          <w:t>1MZ</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6F3B" w14:textId="77777777" w:rsidR="00836167" w:rsidRDefault="00836167" w:rsidP="0054255F">
      <w:pPr>
        <w:spacing w:after="0" w:line="240" w:lineRule="auto"/>
      </w:pPr>
      <w:r>
        <w:separator/>
      </w:r>
    </w:p>
  </w:footnote>
  <w:footnote w:type="continuationSeparator" w:id="0">
    <w:p w14:paraId="10B5D3D9" w14:textId="77777777" w:rsidR="00836167" w:rsidRDefault="00836167"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B7E2D"/>
    <w:rsid w:val="001C2CE6"/>
    <w:rsid w:val="001C6CBE"/>
    <w:rsid w:val="001F0930"/>
    <w:rsid w:val="002021E5"/>
    <w:rsid w:val="00202DFD"/>
    <w:rsid w:val="00206D02"/>
    <w:rsid w:val="00253BBB"/>
    <w:rsid w:val="002657A1"/>
    <w:rsid w:val="002757CE"/>
    <w:rsid w:val="00290454"/>
    <w:rsid w:val="002B1DBC"/>
    <w:rsid w:val="002B6946"/>
    <w:rsid w:val="0030042B"/>
    <w:rsid w:val="00321538"/>
    <w:rsid w:val="0033269D"/>
    <w:rsid w:val="00360822"/>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7021"/>
    <w:rsid w:val="00534E3B"/>
    <w:rsid w:val="0054226E"/>
    <w:rsid w:val="0054255F"/>
    <w:rsid w:val="00554776"/>
    <w:rsid w:val="00564C6E"/>
    <w:rsid w:val="00585121"/>
    <w:rsid w:val="005C23DA"/>
    <w:rsid w:val="005D6E84"/>
    <w:rsid w:val="005F4A01"/>
    <w:rsid w:val="005F4D2D"/>
    <w:rsid w:val="005F6210"/>
    <w:rsid w:val="00623B6A"/>
    <w:rsid w:val="00647800"/>
    <w:rsid w:val="00666615"/>
    <w:rsid w:val="006B3B5B"/>
    <w:rsid w:val="006C2CDE"/>
    <w:rsid w:val="006D1CA3"/>
    <w:rsid w:val="006D51D4"/>
    <w:rsid w:val="006D574D"/>
    <w:rsid w:val="006E320D"/>
    <w:rsid w:val="006E600E"/>
    <w:rsid w:val="006E6AEA"/>
    <w:rsid w:val="00710AA9"/>
    <w:rsid w:val="007111F9"/>
    <w:rsid w:val="007B00A0"/>
    <w:rsid w:val="007B7FB0"/>
    <w:rsid w:val="007D6B5B"/>
    <w:rsid w:val="007E1D68"/>
    <w:rsid w:val="0081526F"/>
    <w:rsid w:val="00836167"/>
    <w:rsid w:val="00844257"/>
    <w:rsid w:val="00855641"/>
    <w:rsid w:val="00870898"/>
    <w:rsid w:val="008709BC"/>
    <w:rsid w:val="00880986"/>
    <w:rsid w:val="00883528"/>
    <w:rsid w:val="008B517B"/>
    <w:rsid w:val="008C0A03"/>
    <w:rsid w:val="008D2928"/>
    <w:rsid w:val="00905106"/>
    <w:rsid w:val="0091144F"/>
    <w:rsid w:val="0093189F"/>
    <w:rsid w:val="00933481"/>
    <w:rsid w:val="009359CC"/>
    <w:rsid w:val="0094193D"/>
    <w:rsid w:val="00942C57"/>
    <w:rsid w:val="0095639B"/>
    <w:rsid w:val="009931B9"/>
    <w:rsid w:val="009C73DB"/>
    <w:rsid w:val="009D204B"/>
    <w:rsid w:val="009D439D"/>
    <w:rsid w:val="009D69DD"/>
    <w:rsid w:val="009D6E89"/>
    <w:rsid w:val="009E2795"/>
    <w:rsid w:val="009E739C"/>
    <w:rsid w:val="00A006A9"/>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4572E"/>
    <w:rsid w:val="00C6715B"/>
    <w:rsid w:val="00C70E00"/>
    <w:rsid w:val="00C7469F"/>
    <w:rsid w:val="00CB7E79"/>
    <w:rsid w:val="00D12C2C"/>
    <w:rsid w:val="00D14819"/>
    <w:rsid w:val="00D21B03"/>
    <w:rsid w:val="00D32AAF"/>
    <w:rsid w:val="00D57D77"/>
    <w:rsid w:val="00D631DD"/>
    <w:rsid w:val="00D66492"/>
    <w:rsid w:val="00D66B31"/>
    <w:rsid w:val="00D70C26"/>
    <w:rsid w:val="00D87E15"/>
    <w:rsid w:val="00D93C0B"/>
    <w:rsid w:val="00DA0FAD"/>
    <w:rsid w:val="00DC2D45"/>
    <w:rsid w:val="00DC2F30"/>
    <w:rsid w:val="00E025C3"/>
    <w:rsid w:val="00ED3FAB"/>
    <w:rsid w:val="00F33D2D"/>
    <w:rsid w:val="00F43160"/>
    <w:rsid w:val="00F674FB"/>
    <w:rsid w:val="00F733AC"/>
    <w:rsid w:val="00F91365"/>
    <w:rsid w:val="00F9237D"/>
    <w:rsid w:val="00FA165B"/>
    <w:rsid w:val="00FA2839"/>
    <w:rsid w:val="00FB0827"/>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2024-02-22T17:11:00Z</dcterms:created>
  <dcterms:modified xsi:type="dcterms:W3CDTF">2024-02-22T17:14:00Z</dcterms:modified>
</cp:coreProperties>
</file>