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2D923F01" w:rsidR="00D12C2C" w:rsidRPr="00AC50CB" w:rsidRDefault="00D12C2C" w:rsidP="00AC50CB">
      <w:pPr>
        <w:keepLines/>
        <w:autoSpaceDE w:val="0"/>
        <w:autoSpaceDN w:val="0"/>
        <w:adjustRightInd w:val="0"/>
        <w:spacing w:after="0"/>
        <w:textAlignment w:val="baseline"/>
        <w:rPr>
          <w:rFonts w:cs="Futura Std Condensed"/>
          <w:color w:val="404040" w:themeColor="text1" w:themeTint="BF"/>
          <w:spacing w:val="-10"/>
          <w:u w:val="single"/>
          <w:lang w:val="fr-CA"/>
        </w:rPr>
      </w:pPr>
      <w:r w:rsidRPr="00AC50CB">
        <w:rPr>
          <w:rFonts w:cs="Futura Std Condensed"/>
          <w:b/>
          <w:color w:val="404040" w:themeColor="text1" w:themeTint="BF"/>
          <w:spacing w:val="-10"/>
          <w:u w:val="single"/>
          <w:lang w:val="fr-CA"/>
        </w:rPr>
        <w:t xml:space="preserve">TAMCO SÉRIE </w:t>
      </w:r>
      <w:r w:rsidR="00AC50CB" w:rsidRPr="00AC50CB">
        <w:rPr>
          <w:rFonts w:cs="Futura Std Condensed"/>
          <w:b/>
          <w:color w:val="404040" w:themeColor="text1" w:themeTint="BF"/>
          <w:spacing w:val="-10"/>
          <w:u w:val="single"/>
          <w:lang w:val="fr-CA"/>
        </w:rPr>
        <w:t>7600 CW VOLET ANTI-RETOUR AVEC CONTREPOIDS INTERNES POUR APPLICATIONS ROBUSTES</w:t>
      </w:r>
    </w:p>
    <w:p w14:paraId="486CD705" w14:textId="52732533" w:rsidR="00D12C2C" w:rsidRPr="00D12C2C" w:rsidRDefault="00D12C2C" w:rsidP="00AC50CB">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AC50CB" w:rsidRPr="00AC50CB">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ou à l’avant, lorsque commandé avec rebord arrière allongé ou avec rebord avant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3D15BACD" w14:textId="77777777" w:rsidR="00AC50CB" w:rsidRPr="00AC50CB" w:rsidRDefault="00AA72B7"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Les</w:t>
      </w:r>
      <w:r w:rsidR="00750ADD" w:rsidRPr="00750ADD">
        <w:t xml:space="preserve"> </w:t>
      </w:r>
      <w:r w:rsidR="00AC50CB" w:rsidRPr="00AC50CB">
        <w:rPr>
          <w:rFonts w:ascii="Calibri" w:hAnsi="Calibri" w:cs="Arial"/>
          <w:color w:val="404040" w:themeColor="text1" w:themeTint="BF"/>
          <w:sz w:val="18"/>
          <w:szCs w:val="18"/>
          <w:lang w:val="fr-CA"/>
        </w:rPr>
        <w:t>lames en aluminium extrudé (6063-T5) devront avoir une profondeur maximale de 6 po (152,4 mm) et l’épaisseur du mur sera de 0,09 po (2,28 mm). Elles seront conçues avec une tête arrondie afin de réduire la perte de pression.</w:t>
      </w:r>
    </w:p>
    <w:p w14:paraId="05AC164E"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 xml:space="preserve">Chaque lame sera équipée d’un contrepoids interne fixe afin d’accélérer l’ouverture des lames et de faciliter l’ouverture lors de basses pressions ou de faibles vitesses de l’air. </w:t>
      </w:r>
    </w:p>
    <w:p w14:paraId="35E0694E"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7D34AD4C"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68E94640"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AC50CB">
        <w:rPr>
          <w:rFonts w:ascii="Calibri" w:hAnsi="Calibri" w:cs="Arial"/>
          <w:color w:val="404040" w:themeColor="text1" w:themeTint="BF"/>
          <w:sz w:val="18"/>
          <w:szCs w:val="18"/>
          <w:lang w:val="fr-CA"/>
        </w:rPr>
        <w:t>Celcon</w:t>
      </w:r>
      <w:proofErr w:type="spellEnd"/>
      <w:r w:rsidRPr="00AC50CB">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5838F903"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 xml:space="preserve">L’axe hexagonal en aluminium extrudé devra mesurer 7/16 po (11,11 mm). </w:t>
      </w:r>
    </w:p>
    <w:p w14:paraId="1CB5DA48"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AC50CB">
        <w:rPr>
          <w:rFonts w:ascii="Calibri" w:hAnsi="Calibri" w:cs="Arial"/>
          <w:color w:val="404040" w:themeColor="text1" w:themeTint="BF"/>
          <w:sz w:val="18"/>
          <w:szCs w:val="18"/>
          <w:lang w:val="fr-CA"/>
        </w:rPr>
        <w:t>Celcon</w:t>
      </w:r>
      <w:proofErr w:type="spellEnd"/>
      <w:r w:rsidRPr="00AC50CB">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0783CF1B"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AC50CB">
        <w:rPr>
          <w:rFonts w:ascii="Calibri" w:hAnsi="Calibri" w:cs="Arial"/>
          <w:color w:val="404040" w:themeColor="text1" w:themeTint="BF"/>
          <w:sz w:val="18"/>
          <w:szCs w:val="18"/>
          <w:lang w:val="fr-CA"/>
        </w:rPr>
        <w:t>Les volets anti-retour</w:t>
      </w:r>
      <w:proofErr w:type="gramEnd"/>
      <w:r w:rsidRPr="00AC50CB">
        <w:rPr>
          <w:rFonts w:ascii="Calibri" w:hAnsi="Calibri" w:cs="Arial"/>
          <w:color w:val="404040" w:themeColor="text1" w:themeTint="BF"/>
          <w:sz w:val="18"/>
          <w:szCs w:val="18"/>
          <w:lang w:val="fr-CA"/>
        </w:rPr>
        <w:t xml:space="preserve"> pour applications robustes seront fonctionnels à des températures variant de -40 °F (-40 °C) à 212 °F (100 °C).</w:t>
      </w:r>
    </w:p>
    <w:p w14:paraId="66ACF534"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AC50CB">
        <w:rPr>
          <w:rFonts w:ascii="Calibri" w:hAnsi="Calibri" w:cs="Arial"/>
          <w:color w:val="404040" w:themeColor="text1" w:themeTint="BF"/>
          <w:sz w:val="18"/>
          <w:szCs w:val="18"/>
          <w:lang w:val="fr-CA"/>
        </w:rPr>
        <w:t>Les volets anti-retour</w:t>
      </w:r>
      <w:proofErr w:type="gramEnd"/>
      <w:r w:rsidRPr="00AC50CB">
        <w:rPr>
          <w:rFonts w:ascii="Calibri" w:hAnsi="Calibri" w:cs="Arial"/>
          <w:color w:val="404040" w:themeColor="text1" w:themeTint="BF"/>
          <w:sz w:val="18"/>
          <w:szCs w:val="18"/>
          <w:lang w:val="fr-CA"/>
        </w:rPr>
        <w:t xml:space="preserve"> pour applications robustes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1447C727"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AC50CB">
        <w:rPr>
          <w:rFonts w:ascii="Calibri" w:hAnsi="Calibri" w:cs="Arial"/>
          <w:color w:val="404040" w:themeColor="text1" w:themeTint="BF"/>
          <w:sz w:val="18"/>
          <w:szCs w:val="18"/>
          <w:lang w:val="fr-CA"/>
        </w:rPr>
        <w:t>Les volets anti-retour</w:t>
      </w:r>
      <w:proofErr w:type="gramEnd"/>
      <w:r w:rsidRPr="00AC50CB">
        <w:rPr>
          <w:rFonts w:ascii="Calibri" w:hAnsi="Calibri" w:cs="Arial"/>
          <w:color w:val="404040" w:themeColor="text1" w:themeTint="BF"/>
          <w:sz w:val="18"/>
          <w:szCs w:val="18"/>
          <w:lang w:val="fr-CA"/>
        </w:rPr>
        <w:t xml:space="preserve"> avec contrepoids internes pour applications robustes devront être installés comme suit : installé dans le conduit, attaché au conduit, rebord avant allongé, ou rebord arrière allongé. (En mentionner un seul.)</w:t>
      </w:r>
    </w:p>
    <w:p w14:paraId="20AFCEEE"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AC50CB">
        <w:rPr>
          <w:rFonts w:ascii="Calibri" w:hAnsi="Calibri" w:cs="Arial"/>
          <w:color w:val="404040" w:themeColor="text1" w:themeTint="BF"/>
          <w:sz w:val="18"/>
          <w:szCs w:val="18"/>
          <w:lang w:val="fr-CA"/>
        </w:rPr>
        <w:t>Les volets anti-retour</w:t>
      </w:r>
      <w:proofErr w:type="gramEnd"/>
      <w:r w:rsidRPr="00AC50CB">
        <w:rPr>
          <w:rFonts w:ascii="Calibri" w:hAnsi="Calibri" w:cs="Arial"/>
          <w:color w:val="404040" w:themeColor="text1" w:themeTint="BF"/>
          <w:sz w:val="18"/>
          <w:szCs w:val="18"/>
          <w:lang w:val="fr-CA"/>
        </w:rPr>
        <w:t xml:space="preserve"> avec contrepoids internes pour applications robustes devront être installés pour fonctionner avec un débit d’air horizontal ou vers le haut. (En mentionner un seul.) </w:t>
      </w:r>
    </w:p>
    <w:p w14:paraId="13A236F0"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L’installation des volets anti-retour pour applications robustes doit correspondre aux exigences du Guide d’installation courant de TAMCO fourni avec chaque livraison de volet TAMCO.</w:t>
      </w:r>
    </w:p>
    <w:p w14:paraId="51224AB0" w14:textId="77777777" w:rsidR="00AC50CB" w:rsidRPr="00AC50CB" w:rsidRDefault="00AC50CB" w:rsidP="00AC50CB">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anti-retour pour applications robustes TAMCO.)</w:t>
      </w:r>
    </w:p>
    <w:p w14:paraId="58DB2A98" w14:textId="2B980FF0" w:rsidR="00AA72B7" w:rsidRPr="00AC50CB" w:rsidRDefault="00AC50CB" w:rsidP="00AC50CB">
      <w:pPr>
        <w:numPr>
          <w:ilvl w:val="0"/>
          <w:numId w:val="4"/>
        </w:numPr>
        <w:spacing w:before="60" w:after="0" w:line="264" w:lineRule="auto"/>
        <w:ind w:left="357" w:hanging="357"/>
        <w:rPr>
          <w:rFonts w:cs="Arial"/>
          <w:color w:val="404040" w:themeColor="text1" w:themeTint="BF"/>
          <w:sz w:val="18"/>
          <w:szCs w:val="18"/>
          <w:lang w:val="fr-CA"/>
        </w:rPr>
      </w:pPr>
      <w:proofErr w:type="gramStart"/>
      <w:r w:rsidRPr="00AC50CB">
        <w:rPr>
          <w:rFonts w:ascii="Calibri" w:hAnsi="Calibri" w:cs="Arial"/>
          <w:color w:val="404040" w:themeColor="text1" w:themeTint="BF"/>
          <w:sz w:val="18"/>
          <w:szCs w:val="18"/>
          <w:lang w:val="fr-CA"/>
        </w:rPr>
        <w:t>Les volets anti-retour</w:t>
      </w:r>
      <w:proofErr w:type="gramEnd"/>
      <w:r w:rsidRPr="00AC50CB">
        <w:rPr>
          <w:rFonts w:ascii="Calibri" w:hAnsi="Calibri" w:cs="Arial"/>
          <w:color w:val="404040" w:themeColor="text1" w:themeTint="BF"/>
          <w:sz w:val="18"/>
          <w:szCs w:val="18"/>
          <w:lang w:val="fr-CA"/>
        </w:rPr>
        <w:t xml:space="preserve"> avec contrepoids internes pour applications robustes seront de la Série 7600 CW, de marque TAMCO provenant de chez T. A. MORRISON &amp; CIE INC. </w:t>
      </w:r>
      <w:r w:rsidR="00D12C2C" w:rsidRPr="00AC50CB">
        <w:rPr>
          <w:rFonts w:cs="Arial"/>
          <w:color w:val="404040" w:themeColor="text1" w:themeTint="BF"/>
          <w:sz w:val="18"/>
          <w:szCs w:val="18"/>
          <w:lang w:val="fr-CA"/>
        </w:rPr>
        <w:t>(Service à la clientèle : Tél. 1 800 723-6805, Québec / 1 800 561-3449, Canada &amp; États-Unis.)</w:t>
      </w:r>
    </w:p>
    <w:p w14:paraId="048F8C7E" w14:textId="77777777" w:rsidR="00AC50CB" w:rsidRDefault="00AC50CB">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321FAF29"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772394E5" w14:textId="77777777" w:rsidR="00750ADD" w:rsidRPr="00701195" w:rsidRDefault="00750ADD" w:rsidP="00750ADD">
      <w:pPr>
        <w:pStyle w:val="BasicParagraph"/>
        <w:spacing w:before="240" w:line="264" w:lineRule="auto"/>
        <w:rPr>
          <w:rFonts w:asciiTheme="minorHAnsi" w:hAnsiTheme="minorHAnsi" w:cs="Arial"/>
          <w:b/>
          <w:color w:val="auto"/>
          <w:sz w:val="18"/>
          <w:szCs w:val="18"/>
          <w:lang w:val="fr-CA"/>
        </w:rPr>
      </w:pPr>
      <w:r w:rsidRPr="00750ADD">
        <w:rPr>
          <w:rFonts w:asciiTheme="minorHAnsi" w:hAnsiTheme="minorHAnsi" w:cs="Arial"/>
          <w:b/>
          <w:color w:val="404040" w:themeColor="text1" w:themeTint="BF"/>
          <w:sz w:val="18"/>
          <w:szCs w:val="18"/>
          <w:lang w:val="fr-CA"/>
        </w:rPr>
        <w:t>ET - OPTION POUR TEMPÉRATURE ÉLEVÉE</w:t>
      </w:r>
      <w:r w:rsidRPr="00701195">
        <w:rPr>
          <w:rFonts w:asciiTheme="minorHAnsi" w:hAnsiTheme="minorHAnsi" w:cs="Arial"/>
          <w:b/>
          <w:color w:val="auto"/>
          <w:sz w:val="18"/>
          <w:szCs w:val="18"/>
          <w:lang w:val="fr-CA"/>
        </w:rPr>
        <w:t xml:space="preserve"> </w:t>
      </w:r>
      <w:r w:rsidRPr="00750ADD">
        <w:rPr>
          <w:rFonts w:asciiTheme="minorHAnsi" w:hAnsiTheme="minorHAnsi" w:cs="Arial"/>
          <w:i/>
          <w:color w:val="404040" w:themeColor="text1" w:themeTint="BF"/>
          <w:sz w:val="18"/>
          <w:szCs w:val="18"/>
          <w:lang w:val="fr-CA"/>
        </w:rPr>
        <w:t>(jusqu’à 300 °F [149 °C])</w:t>
      </w:r>
      <w:r w:rsidRPr="00701195">
        <w:rPr>
          <w:rFonts w:asciiTheme="minorHAnsi" w:hAnsiTheme="minorHAnsi" w:cs="Arial"/>
          <w:b/>
          <w:color w:val="auto"/>
          <w:sz w:val="18"/>
          <w:szCs w:val="18"/>
          <w:lang w:val="fr-CA"/>
        </w:rPr>
        <w:t xml:space="preserve">  </w:t>
      </w:r>
    </w:p>
    <w:p w14:paraId="2B140210" w14:textId="414236F7" w:rsidR="00750ADD" w:rsidRPr="00750ADD" w:rsidRDefault="00AC50CB" w:rsidP="00AC50CB">
      <w:pPr>
        <w:spacing w:after="0" w:line="264" w:lineRule="auto"/>
        <w:ind w:left="357" w:hanging="357"/>
        <w:rPr>
          <w:rFonts w:cs="Arial"/>
          <w:color w:val="404040" w:themeColor="text1" w:themeTint="BF"/>
          <w:sz w:val="18"/>
          <w:szCs w:val="18"/>
          <w:lang w:val="fr-CA"/>
        </w:rPr>
      </w:pPr>
      <w:r>
        <w:rPr>
          <w:rFonts w:cs="Arial"/>
          <w:color w:val="404040" w:themeColor="text1" w:themeTint="BF"/>
          <w:sz w:val="18"/>
          <w:szCs w:val="18"/>
          <w:lang w:val="fr-CA"/>
        </w:rPr>
        <w:t>6</w:t>
      </w:r>
      <w:r w:rsidR="00750ADD" w:rsidRPr="00750ADD">
        <w:rPr>
          <w:rFonts w:cs="Arial"/>
          <w:color w:val="404040" w:themeColor="text1" w:themeTint="BF"/>
          <w:sz w:val="18"/>
          <w:szCs w:val="18"/>
          <w:lang w:val="fr-CA"/>
        </w:rPr>
        <w:t>.</w:t>
      </w:r>
      <w:r w:rsidR="00750ADD" w:rsidRPr="00750ADD">
        <w:rPr>
          <w:rFonts w:cs="Arial"/>
          <w:color w:val="404040" w:themeColor="text1" w:themeTint="BF"/>
          <w:sz w:val="18"/>
          <w:szCs w:val="18"/>
          <w:lang w:val="fr-CA"/>
        </w:rPr>
        <w:tab/>
        <w:t xml:space="preserve">Les </w:t>
      </w:r>
      <w:r w:rsidRPr="00AC50CB">
        <w:rPr>
          <w:rFonts w:cs="Arial"/>
          <w:color w:val="404040" w:themeColor="text1" w:themeTint="BF"/>
          <w:sz w:val="18"/>
          <w:szCs w:val="18"/>
          <w:lang w:val="fr-CA"/>
        </w:rPr>
        <w:t xml:space="preserve">coussinets seront composés de deux parties, dont un coussinet interne en bronze </w:t>
      </w:r>
      <w:proofErr w:type="spellStart"/>
      <w:r w:rsidRPr="00AC50CB">
        <w:rPr>
          <w:rFonts w:cs="Arial"/>
          <w:color w:val="404040" w:themeColor="text1" w:themeTint="BF"/>
          <w:sz w:val="18"/>
          <w:szCs w:val="18"/>
          <w:lang w:val="fr-CA"/>
        </w:rPr>
        <w:t>oilite</w:t>
      </w:r>
      <w:proofErr w:type="spellEnd"/>
      <w:r w:rsidRPr="00AC50CB">
        <w:rPr>
          <w:rFonts w:cs="Arial"/>
          <w:color w:val="404040" w:themeColor="text1" w:themeTint="BF"/>
          <w:sz w:val="18"/>
          <w:szCs w:val="18"/>
          <w:lang w:val="fr-CA"/>
        </w:rPr>
        <w:t xml:space="preserve">, fixé à une tige hexagonale d’aluminium de 7/16 po (11,11 mm) qui pivote dans un coussinet externe en bronze </w:t>
      </w:r>
      <w:proofErr w:type="spellStart"/>
      <w:r w:rsidRPr="00AC50CB">
        <w:rPr>
          <w:rFonts w:cs="Arial"/>
          <w:color w:val="404040" w:themeColor="text1" w:themeTint="BF"/>
          <w:sz w:val="18"/>
          <w:szCs w:val="18"/>
          <w:lang w:val="fr-CA"/>
        </w:rPr>
        <w:t>oilite</w:t>
      </w:r>
      <w:proofErr w:type="spellEnd"/>
      <w:r w:rsidRPr="00AC50CB">
        <w:rPr>
          <w:rFonts w:cs="Arial"/>
          <w:color w:val="404040" w:themeColor="text1" w:themeTint="BF"/>
          <w:sz w:val="18"/>
          <w:szCs w:val="18"/>
          <w:lang w:val="fr-CA"/>
        </w:rPr>
        <w:t xml:space="preserve"> fixé dans le cadre latéral. Un coussinet à essieu simple pivotant dans un trou poinçonné ou extrudé ne sera pas </w:t>
      </w:r>
      <w:r w:rsidR="00750ADD" w:rsidRPr="00750ADD">
        <w:rPr>
          <w:rFonts w:cs="Arial"/>
          <w:color w:val="404040" w:themeColor="text1" w:themeTint="BF"/>
          <w:sz w:val="18"/>
          <w:szCs w:val="18"/>
          <w:lang w:val="fr-CA"/>
        </w:rPr>
        <w:t>accepté.</w:t>
      </w:r>
    </w:p>
    <w:p w14:paraId="40365A6A" w14:textId="0C55EC0E" w:rsidR="00AC50CB" w:rsidRPr="00AC50CB" w:rsidRDefault="00AC50CB" w:rsidP="00AC50CB">
      <w:pPr>
        <w:spacing w:before="60" w:after="0" w:line="264" w:lineRule="auto"/>
        <w:ind w:left="357" w:hanging="357"/>
        <w:rPr>
          <w:rFonts w:ascii="Calibri" w:hAnsi="Calibri" w:cs="Arial"/>
          <w:color w:val="404040" w:themeColor="text1" w:themeTint="BF"/>
          <w:sz w:val="18"/>
          <w:szCs w:val="18"/>
          <w:lang w:val="fr-CA"/>
        </w:rPr>
      </w:pPr>
      <w:r>
        <w:rPr>
          <w:rFonts w:ascii="Calibri" w:hAnsi="Calibri" w:cs="Arial"/>
          <w:color w:val="404040" w:themeColor="text1" w:themeTint="BF"/>
          <w:sz w:val="18"/>
          <w:szCs w:val="18"/>
          <w:lang w:val="fr-CA"/>
        </w:rPr>
        <w:t>8</w:t>
      </w:r>
      <w:r w:rsidR="00750ADD" w:rsidRPr="00750ADD">
        <w:rPr>
          <w:rFonts w:ascii="Calibri" w:hAnsi="Calibri" w:cs="Arial"/>
          <w:color w:val="404040" w:themeColor="text1" w:themeTint="BF"/>
          <w:sz w:val="18"/>
          <w:szCs w:val="18"/>
          <w:lang w:val="fr-CA"/>
        </w:rPr>
        <w:t>.</w:t>
      </w:r>
      <w:r w:rsidR="00750ADD" w:rsidRPr="00750ADD">
        <w:rPr>
          <w:rFonts w:ascii="Calibri" w:hAnsi="Calibri" w:cs="Arial"/>
          <w:color w:val="404040" w:themeColor="text1" w:themeTint="BF"/>
          <w:sz w:val="18"/>
          <w:szCs w:val="18"/>
          <w:lang w:val="fr-CA"/>
        </w:rPr>
        <w:tab/>
        <w:t xml:space="preserve">Toute </w:t>
      </w:r>
      <w:r w:rsidRPr="00AC50CB">
        <w:rPr>
          <w:rFonts w:ascii="Calibri" w:hAnsi="Calibri" w:cs="Arial"/>
          <w:color w:val="404040" w:themeColor="text1" w:themeTint="BF"/>
          <w:sz w:val="18"/>
          <w:szCs w:val="18"/>
          <w:lang w:val="fr-CA"/>
        </w:rPr>
        <w:t xml:space="preserve">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AC50CB">
        <w:rPr>
          <w:rFonts w:ascii="Calibri" w:hAnsi="Calibri" w:cs="Arial"/>
          <w:color w:val="404040" w:themeColor="text1" w:themeTint="BF"/>
          <w:sz w:val="18"/>
          <w:szCs w:val="18"/>
          <w:lang w:val="fr-CA"/>
        </w:rPr>
        <w:t>oilite</w:t>
      </w:r>
      <w:proofErr w:type="spellEnd"/>
      <w:r w:rsidRPr="00AC50CB">
        <w:rPr>
          <w:rFonts w:ascii="Calibri" w:hAnsi="Calibri" w:cs="Arial"/>
          <w:color w:val="404040" w:themeColor="text1" w:themeTint="BF"/>
          <w:sz w:val="18"/>
          <w:szCs w:val="18"/>
          <w:lang w:val="fr-CA"/>
        </w:rPr>
        <w:t>. Les mécanismes avec des composants acier contre acier ne seront pas approuvés.</w:t>
      </w:r>
    </w:p>
    <w:p w14:paraId="48CC1241" w14:textId="15118B01" w:rsidR="00750ADD" w:rsidRPr="00750ADD" w:rsidRDefault="00AC50CB" w:rsidP="00AC50CB">
      <w:pPr>
        <w:spacing w:before="60" w:after="0" w:line="264" w:lineRule="auto"/>
        <w:ind w:left="357" w:hanging="357"/>
        <w:rPr>
          <w:rFonts w:ascii="Calibri" w:hAnsi="Calibri" w:cs="Arial"/>
          <w:color w:val="404040" w:themeColor="text1" w:themeTint="BF"/>
          <w:sz w:val="18"/>
          <w:szCs w:val="18"/>
          <w:lang w:val="fr-CA"/>
        </w:rPr>
      </w:pPr>
      <w:r w:rsidRPr="00AC50CB">
        <w:rPr>
          <w:rFonts w:ascii="Calibri" w:hAnsi="Calibri" w:cs="Arial"/>
          <w:color w:val="404040" w:themeColor="text1" w:themeTint="BF"/>
          <w:sz w:val="18"/>
          <w:szCs w:val="18"/>
          <w:lang w:val="fr-CA"/>
        </w:rPr>
        <w:t>9.</w:t>
      </w:r>
      <w:r w:rsidRPr="00AC50CB">
        <w:rPr>
          <w:rFonts w:ascii="Calibri" w:hAnsi="Calibri" w:cs="Arial"/>
          <w:color w:val="404040" w:themeColor="text1" w:themeTint="BF"/>
          <w:sz w:val="18"/>
          <w:szCs w:val="18"/>
          <w:lang w:val="fr-CA"/>
        </w:rPr>
        <w:tab/>
        <w:t>Les volets seront fonctionnels à des températures variant de -40 °F (-40 °C) à 300 °F (149 °C).</w:t>
      </w:r>
      <w:r w:rsidRPr="00AC50CB">
        <w:rPr>
          <w:rFonts w:ascii="Calibri" w:hAnsi="Calibri" w:cs="Arial"/>
          <w:color w:val="404040" w:themeColor="text1" w:themeTint="BF"/>
          <w:sz w:val="18"/>
          <w:szCs w:val="18"/>
          <w:lang w:val="fr-CA"/>
        </w:rPr>
        <w:t xml:space="preserve"> </w:t>
      </w:r>
    </w:p>
    <w:p w14:paraId="13A137A5" w14:textId="77777777" w:rsidR="00D12C2C" w:rsidRPr="00D12C2C" w:rsidRDefault="00D12C2C" w:rsidP="00750ADD">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3C7731A4" w14:textId="6D514317" w:rsidR="00750ADD" w:rsidRPr="00750ADD" w:rsidRDefault="00D12C2C" w:rsidP="00750ADD">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Le</w:t>
      </w:r>
      <w:r w:rsidR="00750ADD" w:rsidRPr="00750ADD">
        <w:t xml:space="preserve"> </w:t>
      </w:r>
      <w:r w:rsidR="00AC50CB" w:rsidRPr="00AC50CB">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ou à l’avant, lorsque commandé avec rebord arrière allongé ou avec rebord avant allongé. Le cadre devra être assemblé avec des vis en acier inoxydable. Les cadres soudés ne seront pas </w:t>
      </w:r>
      <w:r w:rsidRPr="00D12C2C">
        <w:rPr>
          <w:rFonts w:cs="Arial"/>
          <w:color w:val="404040" w:themeColor="text1" w:themeTint="BF"/>
          <w:sz w:val="18"/>
          <w:szCs w:val="18"/>
          <w:lang w:val="fr-CA"/>
        </w:rPr>
        <w:t>acceptés.</w:t>
      </w:r>
    </w:p>
    <w:p w14:paraId="2B45BBBE" w14:textId="77777777" w:rsidR="00AC50CB" w:rsidRPr="00AC50CB" w:rsidRDefault="00AC50CB" w:rsidP="00AC50CB">
      <w:pPr>
        <w:spacing w:before="60" w:after="0" w:line="264" w:lineRule="auto"/>
        <w:ind w:left="357" w:hanging="357"/>
        <w:rPr>
          <w:rFonts w:ascii="Calibri" w:hAnsi="Calibri" w:cs="Arial"/>
          <w:color w:val="404040" w:themeColor="text1" w:themeTint="BF"/>
          <w:sz w:val="18"/>
          <w:szCs w:val="18"/>
          <w:lang w:val="fr-CA"/>
        </w:rPr>
      </w:pPr>
      <w:r>
        <w:rPr>
          <w:rFonts w:ascii="Calibri" w:hAnsi="Calibri" w:cs="Arial"/>
          <w:color w:val="404040" w:themeColor="text1" w:themeTint="BF"/>
          <w:sz w:val="18"/>
          <w:szCs w:val="18"/>
          <w:lang w:val="fr-CA"/>
        </w:rPr>
        <w:t>8</w:t>
      </w:r>
      <w:r w:rsidRPr="00750ADD">
        <w:rPr>
          <w:rFonts w:ascii="Calibri" w:hAnsi="Calibri" w:cs="Arial"/>
          <w:color w:val="404040" w:themeColor="text1" w:themeTint="BF"/>
          <w:sz w:val="18"/>
          <w:szCs w:val="18"/>
          <w:lang w:val="fr-CA"/>
        </w:rPr>
        <w:t>.</w:t>
      </w:r>
      <w:r w:rsidRPr="00750ADD">
        <w:rPr>
          <w:rFonts w:ascii="Calibri" w:hAnsi="Calibri" w:cs="Arial"/>
          <w:color w:val="404040" w:themeColor="text1" w:themeTint="BF"/>
          <w:sz w:val="18"/>
          <w:szCs w:val="18"/>
          <w:lang w:val="fr-CA"/>
        </w:rPr>
        <w:tab/>
        <w:t xml:space="preserve">Toute </w:t>
      </w:r>
      <w:r w:rsidRPr="00AC50CB">
        <w:rPr>
          <w:rFonts w:ascii="Calibri" w:hAnsi="Calibri" w:cs="Arial"/>
          <w:color w:val="404040" w:themeColor="text1" w:themeTint="BF"/>
          <w:sz w:val="18"/>
          <w:szCs w:val="18"/>
          <w:lang w:val="fr-CA"/>
        </w:rPr>
        <w:t xml:space="preserve">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AC50CB">
        <w:rPr>
          <w:rFonts w:ascii="Calibri" w:hAnsi="Calibri" w:cs="Arial"/>
          <w:color w:val="404040" w:themeColor="text1" w:themeTint="BF"/>
          <w:sz w:val="18"/>
          <w:szCs w:val="18"/>
          <w:lang w:val="fr-CA"/>
        </w:rPr>
        <w:t>oilite</w:t>
      </w:r>
      <w:proofErr w:type="spellEnd"/>
      <w:r w:rsidRPr="00AC50CB">
        <w:rPr>
          <w:rFonts w:ascii="Calibri" w:hAnsi="Calibri" w:cs="Arial"/>
          <w:color w:val="404040" w:themeColor="text1" w:themeTint="BF"/>
          <w:sz w:val="18"/>
          <w:szCs w:val="18"/>
          <w:lang w:val="fr-CA"/>
        </w:rPr>
        <w:t>. Les mécanismes avec des composants acier contre acier ne seront pas approuvés.</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2B189F13"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C50CB" w:rsidRPr="00AC50CB">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ou à l’avant, lorsque commandé avec rebord arrière allongé ou avec rebord avant allongé. Les cadres d’aluminium seront anodisés clair à une profondeur minimale de 0,7 mil (18 microns). Le cadre devra être assemblé avec des vis en acier inoxydable. Les cadres soudés ne seront pas </w:t>
      </w:r>
      <w:r w:rsidR="00AA72B7" w:rsidRPr="00AA72B7">
        <w:rPr>
          <w:rFonts w:cs="Arial"/>
          <w:color w:val="404040" w:themeColor="text1" w:themeTint="BF"/>
          <w:sz w:val="18"/>
          <w:szCs w:val="18"/>
          <w:lang w:val="fr-CA"/>
        </w:rPr>
        <w:t>acceptés</w:t>
      </w:r>
      <w:r w:rsidRPr="00D12C2C">
        <w:rPr>
          <w:rFonts w:cs="Arial"/>
          <w:color w:val="404040" w:themeColor="text1" w:themeTint="BF"/>
          <w:sz w:val="18"/>
          <w:szCs w:val="18"/>
          <w:lang w:val="fr-CA"/>
        </w:rPr>
        <w:t>.</w:t>
      </w:r>
    </w:p>
    <w:p w14:paraId="44BA6B12" w14:textId="10B175B7" w:rsidR="00750ADD" w:rsidRPr="00750ADD" w:rsidRDefault="00D12C2C" w:rsidP="00AC50CB">
      <w:pPr>
        <w:spacing w:before="60" w:after="0" w:line="264" w:lineRule="auto"/>
        <w:ind w:left="357" w:hanging="357"/>
        <w:rPr>
          <w:rFonts w:ascii="Calibri" w:hAnsi="Calibri" w:cs="Arial"/>
          <w:color w:val="404040" w:themeColor="text1" w:themeTint="BF"/>
          <w:sz w:val="18"/>
          <w:szCs w:val="18"/>
          <w:lang w:val="fr-CA"/>
        </w:rPr>
      </w:pPr>
      <w:r w:rsidRPr="00D12C2C">
        <w:rPr>
          <w:rFonts w:cs="Arial"/>
          <w:color w:val="404040" w:themeColor="text1" w:themeTint="BF"/>
          <w:sz w:val="18"/>
          <w:szCs w:val="18"/>
          <w:lang w:val="fr-CA"/>
        </w:rPr>
        <w:t>2.</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Les</w:t>
      </w:r>
      <w:r w:rsidR="00AC50CB" w:rsidRPr="00AC50CB">
        <w:t xml:space="preserve"> </w:t>
      </w:r>
      <w:r w:rsidR="00AC50CB" w:rsidRPr="00AC50CB">
        <w:rPr>
          <w:rFonts w:ascii="Calibri" w:hAnsi="Calibri" w:cs="Arial"/>
          <w:color w:val="404040" w:themeColor="text1" w:themeTint="BF"/>
          <w:sz w:val="18"/>
          <w:szCs w:val="18"/>
          <w:lang w:val="fr-CA"/>
        </w:rPr>
        <w:t xml:space="preserve">lames de type air-foil en aluminium extrudé (6063-T5) devront avoir une profondeur maximale de 6 po (152,4 mm) et l’épaisseur du mur sera de 0,09 po (2,28 mm) et feront l’objet d’une anodisation claire à une profondeur minimale de 0,7 mil (18 microns). Elles seront conçues avec une tête arrondie afin de réduire la perte de </w:t>
      </w:r>
      <w:r w:rsidR="00750ADD" w:rsidRPr="00750ADD">
        <w:rPr>
          <w:rFonts w:ascii="Calibri" w:hAnsi="Calibri" w:cs="Arial"/>
          <w:color w:val="404040" w:themeColor="text1" w:themeTint="BF"/>
          <w:sz w:val="18"/>
          <w:szCs w:val="18"/>
          <w:lang w:val="fr-CA"/>
        </w:rPr>
        <w:t>pression.</w:t>
      </w:r>
    </w:p>
    <w:p w14:paraId="21AAD3D3" w14:textId="2B3CDFBE" w:rsidR="00290454" w:rsidRPr="00D12C2C" w:rsidRDefault="00AC50CB" w:rsidP="00AC50CB">
      <w:pPr>
        <w:spacing w:before="60" w:after="0" w:line="264" w:lineRule="auto"/>
        <w:ind w:left="357" w:hanging="357"/>
        <w:rPr>
          <w:rFonts w:ascii="Calibri" w:hAnsi="Calibri" w:cs="Arial"/>
          <w:color w:val="404040" w:themeColor="text1" w:themeTint="BF"/>
          <w:sz w:val="18"/>
          <w:szCs w:val="18"/>
          <w:lang w:val="fr-CA"/>
        </w:rPr>
      </w:pPr>
      <w:r>
        <w:rPr>
          <w:rFonts w:ascii="Calibri" w:hAnsi="Calibri" w:cs="Arial"/>
          <w:color w:val="404040" w:themeColor="text1" w:themeTint="BF"/>
          <w:sz w:val="18"/>
          <w:szCs w:val="18"/>
          <w:lang w:val="fr-CA"/>
        </w:rPr>
        <w:t>8</w:t>
      </w:r>
      <w:r w:rsidRPr="00750ADD">
        <w:rPr>
          <w:rFonts w:ascii="Calibri" w:hAnsi="Calibri" w:cs="Arial"/>
          <w:color w:val="404040" w:themeColor="text1" w:themeTint="BF"/>
          <w:sz w:val="18"/>
          <w:szCs w:val="18"/>
          <w:lang w:val="fr-CA"/>
        </w:rPr>
        <w:t>.</w:t>
      </w:r>
      <w:r w:rsidRPr="00750ADD">
        <w:rPr>
          <w:rFonts w:ascii="Calibri" w:hAnsi="Calibri" w:cs="Arial"/>
          <w:color w:val="404040" w:themeColor="text1" w:themeTint="BF"/>
          <w:sz w:val="18"/>
          <w:szCs w:val="18"/>
          <w:lang w:val="fr-CA"/>
        </w:rPr>
        <w:tab/>
        <w:t xml:space="preserve">Toute </w:t>
      </w:r>
      <w:r w:rsidRPr="00AC50CB">
        <w:rPr>
          <w:rFonts w:ascii="Calibri" w:hAnsi="Calibri" w:cs="Arial"/>
          <w:color w:val="404040" w:themeColor="text1" w:themeTint="BF"/>
          <w:sz w:val="18"/>
          <w:szCs w:val="18"/>
          <w:lang w:val="fr-CA"/>
        </w:rPr>
        <w:t xml:space="preserve">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AC50CB">
        <w:rPr>
          <w:rFonts w:ascii="Calibri" w:hAnsi="Calibri" w:cs="Arial"/>
          <w:color w:val="404040" w:themeColor="text1" w:themeTint="BF"/>
          <w:sz w:val="18"/>
          <w:szCs w:val="18"/>
          <w:lang w:val="fr-CA"/>
        </w:rPr>
        <w:t>oilite</w:t>
      </w:r>
      <w:proofErr w:type="spellEnd"/>
      <w:r w:rsidRPr="00AC50CB">
        <w:rPr>
          <w:rFonts w:ascii="Calibri" w:hAnsi="Calibri" w:cs="Arial"/>
          <w:color w:val="404040" w:themeColor="text1" w:themeTint="BF"/>
          <w:sz w:val="18"/>
          <w:szCs w:val="18"/>
          <w:lang w:val="fr-CA"/>
        </w:rPr>
        <w:t>. Les mécanismes avec des composants acier contre acier ne seront pas 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BFAD" w14:textId="77777777" w:rsidR="00C115BA" w:rsidRDefault="00C115BA" w:rsidP="0054255F">
      <w:pPr>
        <w:spacing w:after="0" w:line="240" w:lineRule="auto"/>
      </w:pPr>
      <w:r>
        <w:separator/>
      </w:r>
    </w:p>
  </w:endnote>
  <w:endnote w:type="continuationSeparator" w:id="0">
    <w:p w14:paraId="2D25A4A2" w14:textId="77777777" w:rsidR="00C115BA" w:rsidRDefault="00C115BA"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6A912CFA"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750ADD">
          <w:rPr>
            <w:color w:val="808284"/>
          </w:rPr>
          <w:t>6</w:t>
        </w:r>
        <w:r w:rsidR="009E739C" w:rsidRPr="00517021">
          <w:rPr>
            <w:color w:val="808284"/>
          </w:rPr>
          <w:t>00</w:t>
        </w:r>
        <w:r w:rsidR="00B840F5">
          <w:rPr>
            <w:color w:val="808284"/>
          </w:rPr>
          <w:t>CW</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D33B" w14:textId="77777777" w:rsidR="00C115BA" w:rsidRDefault="00C115BA" w:rsidP="0054255F">
      <w:pPr>
        <w:spacing w:after="0" w:line="240" w:lineRule="auto"/>
      </w:pPr>
      <w:r>
        <w:separator/>
      </w:r>
    </w:p>
  </w:footnote>
  <w:footnote w:type="continuationSeparator" w:id="0">
    <w:p w14:paraId="547B74AE" w14:textId="77777777" w:rsidR="00C115BA" w:rsidRDefault="00C115BA"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A4E93"/>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86E44"/>
    <w:rsid w:val="00495B97"/>
    <w:rsid w:val="004A1F6B"/>
    <w:rsid w:val="004C031D"/>
    <w:rsid w:val="004C661F"/>
    <w:rsid w:val="004C7F07"/>
    <w:rsid w:val="004F7445"/>
    <w:rsid w:val="00515231"/>
    <w:rsid w:val="00517021"/>
    <w:rsid w:val="0054226E"/>
    <w:rsid w:val="0054255F"/>
    <w:rsid w:val="00554776"/>
    <w:rsid w:val="005625FE"/>
    <w:rsid w:val="00564C6E"/>
    <w:rsid w:val="005C23DA"/>
    <w:rsid w:val="005D6E84"/>
    <w:rsid w:val="005E4BF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0ADD"/>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A1F80"/>
    <w:rsid w:val="009C73DB"/>
    <w:rsid w:val="009D204B"/>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50CB"/>
    <w:rsid w:val="00AC6442"/>
    <w:rsid w:val="00AC6DEC"/>
    <w:rsid w:val="00AD26B0"/>
    <w:rsid w:val="00AE106A"/>
    <w:rsid w:val="00B0232C"/>
    <w:rsid w:val="00B22843"/>
    <w:rsid w:val="00B31384"/>
    <w:rsid w:val="00B53515"/>
    <w:rsid w:val="00B840F5"/>
    <w:rsid w:val="00BA22AA"/>
    <w:rsid w:val="00C115B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2024-02-23T15:27:00Z</dcterms:created>
  <dcterms:modified xsi:type="dcterms:W3CDTF">2024-02-23T15:35:00Z</dcterms:modified>
</cp:coreProperties>
</file>